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 xml:space="preserve">Памятка </w:t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для граждан имеющих право на меры социальной поддержки</w:t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single"/>
        </w:rPr>
        <w:t>по категориям:  ветеран труда</w:t>
        <w:tab/>
        <w:t>и лица к ним приравненные, реабилитированные и пострадавшие от политических репрессий, труженики тыла, члены семей военнослужащих, погибших в мирное время.</w:t>
      </w:r>
    </w:p>
    <w:p>
      <w:pPr>
        <w:pStyle w:val="Normal"/>
        <w:spacing w:lineRule="auto" w:line="240" w:before="0" w:after="0"/>
        <w:ind w:hanging="3261" w:left="32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Условия предоставления льгот : </w:t>
      </w:r>
      <w:r>
        <w:rPr>
          <w:rFonts w:cs="Times New Roman" w:ascii="Times New Roman" w:hAnsi="Times New Roman"/>
          <w:sz w:val="20"/>
          <w:szCs w:val="20"/>
        </w:rPr>
        <w:t>предоставляется гражданам Российской Федерации постоянно  или временно проживающим на территории Воронежской области,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 наличии удостоверения ветеран труда (достижение  возраста </w:t>
      </w:r>
      <w:r>
        <w:rPr>
          <w:rFonts w:cs="Times New Roman" w:ascii="Times New Roman" w:hAnsi="Times New Roman"/>
          <w:sz w:val="20"/>
          <w:szCs w:val="20"/>
        </w:rPr>
        <w:t>60</w:t>
      </w:r>
      <w:r>
        <w:rPr>
          <w:rFonts w:cs="Times New Roman" w:ascii="Times New Roman" w:hAnsi="Times New Roman"/>
          <w:sz w:val="20"/>
          <w:szCs w:val="20"/>
        </w:rPr>
        <w:t xml:space="preserve">лет (для женщин), </w:t>
      </w:r>
      <w:r>
        <w:rPr>
          <w:rFonts w:cs="Times New Roman" w:ascii="Times New Roman" w:hAnsi="Times New Roman"/>
          <w:sz w:val="20"/>
          <w:szCs w:val="20"/>
        </w:rPr>
        <w:t>65</w:t>
      </w:r>
      <w:r>
        <w:rPr>
          <w:rFonts w:cs="Times New Roman" w:ascii="Times New Roman" w:hAnsi="Times New Roman"/>
          <w:sz w:val="20"/>
          <w:szCs w:val="20"/>
        </w:rPr>
        <w:t xml:space="preserve"> лет (для мужчин); наличие удостоверения о праве на льготы</w:t>
      </w:r>
      <w:r>
        <w:rPr>
          <w:rFonts w:cs="Times New Roman" w:ascii="Times New Roman" w:hAnsi="Times New Roman"/>
          <w:sz w:val="20"/>
          <w:szCs w:val="20"/>
        </w:rPr>
        <w:t>(справка)</w:t>
      </w:r>
      <w:r>
        <w:rPr>
          <w:rFonts w:cs="Times New Roman" w:ascii="Times New Roman" w:hAnsi="Times New Roman"/>
          <w:sz w:val="20"/>
          <w:szCs w:val="20"/>
        </w:rPr>
        <w:t xml:space="preserve">.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Style w:val="a8"/>
        <w:tblW w:w="10349" w:type="dxa"/>
        <w:jc w:val="left"/>
        <w:tblInd w:w="4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"/>
        <w:gridCol w:w="4111"/>
        <w:gridCol w:w="5671"/>
      </w:tblGrid>
      <w:tr>
        <w:trPr>
          <w:trHeight w:val="419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Меры социальной поддержки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Примечание</w:t>
            </w:r>
          </w:p>
        </w:tc>
      </w:tr>
      <w:tr>
        <w:trPr>
          <w:trHeight w:val="419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Ежемесячная денежная выплата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Ветеранам труда: размер на 01.02.202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г. составляет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857,97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Труженикам  тыла:  размер  на  01.02.202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г.  составляет 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1013,96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руб.</w:t>
            </w:r>
          </w:p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Реабилитированным: размер на 01.02.202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г. составляет  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152,46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руб.</w:t>
            </w:r>
          </w:p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Пострадавшим от политических репрессий: размер на 01.02.202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г. составляет 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1013,96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руб.</w:t>
            </w:r>
          </w:p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Семьям  погибших: размер  на  01.02.202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г.  составляет  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161,84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руб.</w:t>
            </w:r>
          </w:p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(индексируется ежегодно)</w:t>
            </w:r>
          </w:p>
        </w:tc>
      </w:tr>
      <w:tr>
        <w:trPr>
          <w:trHeight w:val="419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Денежная компенсация расходов на оплату жилого помещения и (или) коммунальных услуг.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Исходя из индивидуальной ситуации</w:t>
            </w:r>
          </w:p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Труженикам тыла не предусмотрена</w:t>
            </w:r>
          </w:p>
        </w:tc>
      </w:tr>
      <w:tr>
        <w:trPr>
          <w:trHeight w:val="4617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Санаторно-курортное лечение в санатории «Белая горка».</w:t>
            </w:r>
          </w:p>
        </w:tc>
        <w:tc>
          <w:tcPr>
            <w:tcW w:w="5671" w:type="dxa"/>
            <w:tcBorders/>
          </w:tcPr>
          <w:p>
            <w:pPr>
              <w:pStyle w:val="S1"/>
              <w:widowControl/>
              <w:spacing w:beforeAutospacing="0" w:before="0" w:afterAutospacing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eastAsia="ru-RU" w:bidi="ar-SA"/>
              </w:rPr>
              <w:t>Путевка предоставляется гражданам  при наличии медицинских показаний и отсутствии противопоказаний не чаще одного раза в течение календарного года.</w:t>
            </w:r>
          </w:p>
          <w:p>
            <w:pPr>
              <w:pStyle w:val="S1"/>
              <w:widowControl/>
              <w:spacing w:beforeAutospacing="0" w:before="0" w:afterAutospacing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Одновременно с подачей заявления гражданин из числа   ветеранов труда  представляет следующие документы:</w:t>
            </w:r>
          </w:p>
          <w:p>
            <w:pPr>
              <w:pStyle w:val="S1"/>
              <w:widowControl/>
              <w:spacing w:beforeAutospacing="0" w:before="0" w:afterAutospacing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- копию паспорта или иного документа, удостоверяющего личность;</w:t>
            </w:r>
          </w:p>
          <w:p>
            <w:pPr>
              <w:pStyle w:val="S1"/>
              <w:widowControl/>
              <w:spacing w:beforeAutospacing="0" w:before="0" w:afterAutospacing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- удостоверение   о праве на меры социальной поддержки установленного образца;</w:t>
            </w:r>
          </w:p>
          <w:p>
            <w:pPr>
              <w:pStyle w:val="S1"/>
              <w:widowControl/>
              <w:spacing w:beforeAutospacing="0" w:before="0" w:afterAutospacing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-   пенсионное удостоверение;</w:t>
            </w:r>
          </w:p>
          <w:p>
            <w:pPr>
              <w:pStyle w:val="S1"/>
              <w:widowControl/>
              <w:spacing w:beforeAutospacing="0" w:before="0" w:afterAutospacing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 xml:space="preserve">- справку для получения путевки на санаторно-курортное лечение, выданную медицинской организацией (иной организацией), оказывающей медицинскую помощь в амбулаторных условиях по </w:t>
            </w:r>
            <w:r>
              <w:fldChar w:fldCharType="begin"/>
            </w:r>
            <w:r>
              <w:rPr>
                <w:rStyle w:val="Hyperlink"/>
                <w:sz w:val="20"/>
                <w:kern w:val="0"/>
                <w:szCs w:val="20"/>
                <w:lang w:val="ru-RU" w:eastAsia="ru-RU" w:bidi="ar-SA"/>
              </w:rPr>
              <w:instrText xml:space="preserve"> HYPERLINK "http://192.168.152.17/" \l "/document/70877304/entry/129"</w:instrText>
            </w:r>
            <w:r>
              <w:rPr>
                <w:rStyle w:val="Hyperlink"/>
                <w:sz w:val="20"/>
                <w:kern w:val="0"/>
                <w:szCs w:val="20"/>
                <w:lang w:val="ru-RU" w:eastAsia="ru-RU" w:bidi="ar-SA"/>
              </w:rPr>
              <w:fldChar w:fldCharType="separate"/>
            </w:r>
            <w:r>
              <w:rPr>
                <w:rStyle w:val="Hyperlink"/>
                <w:kern w:val="0"/>
                <w:sz w:val="20"/>
                <w:szCs w:val="20"/>
                <w:lang w:val="ru-RU" w:eastAsia="ru-RU" w:bidi="ar-SA"/>
              </w:rPr>
              <w:t>форме N 070/у</w:t>
            </w:r>
            <w:r>
              <w:rPr>
                <w:rStyle w:val="Hyperlink"/>
                <w:sz w:val="20"/>
                <w:kern w:val="0"/>
                <w:szCs w:val="20"/>
                <w:lang w:val="ru-RU" w:eastAsia="ru-RU" w:bidi="ar-SA"/>
              </w:rPr>
              <w:fldChar w:fldCharType="end"/>
            </w:r>
            <w:r>
              <w:rPr>
                <w:kern w:val="0"/>
                <w:sz w:val="20"/>
                <w:szCs w:val="20"/>
                <w:lang w:val="ru-RU" w:eastAsia="ru-RU" w:bidi="ar-SA"/>
              </w:rPr>
              <w:t xml:space="preserve">, утвержденной </w:t>
            </w:r>
            <w:r>
              <w:fldChar w:fldCharType="begin"/>
            </w:r>
            <w:r>
              <w:rPr>
                <w:rStyle w:val="Hyperlink"/>
                <w:sz w:val="20"/>
                <w:kern w:val="0"/>
                <w:szCs w:val="20"/>
                <w:lang w:val="ru-RU" w:eastAsia="ru-RU" w:bidi="ar-SA"/>
              </w:rPr>
              <w:instrText xml:space="preserve"> HYPERLINK "http://192.168.152.17/" \l "/document/70877304/entry/0"</w:instrText>
            </w:r>
            <w:r>
              <w:rPr>
                <w:rStyle w:val="Hyperlink"/>
                <w:sz w:val="20"/>
                <w:kern w:val="0"/>
                <w:szCs w:val="20"/>
                <w:lang w:val="ru-RU" w:eastAsia="ru-RU" w:bidi="ar-SA"/>
              </w:rPr>
              <w:fldChar w:fldCharType="separate"/>
            </w:r>
            <w:r>
              <w:rPr>
                <w:rStyle w:val="Hyperlink"/>
                <w:kern w:val="0"/>
                <w:sz w:val="20"/>
                <w:szCs w:val="20"/>
                <w:lang w:val="ru-RU" w:eastAsia="ru-RU" w:bidi="ar-SA"/>
              </w:rPr>
              <w:t>приказом</w:t>
            </w:r>
            <w:r>
              <w:rPr>
                <w:rStyle w:val="Hyperlink"/>
                <w:sz w:val="20"/>
                <w:kern w:val="0"/>
                <w:szCs w:val="20"/>
                <w:lang w:val="ru-RU" w:eastAsia="ru-RU" w:bidi="ar-SA"/>
              </w:rPr>
              <w:fldChar w:fldCharType="end"/>
            </w:r>
            <w:r>
              <w:rPr>
                <w:kern w:val="0"/>
                <w:sz w:val="20"/>
                <w:szCs w:val="20"/>
                <w:lang w:val="ru-RU" w:eastAsia="ru-RU" w:bidi="ar-SA"/>
              </w:rPr>
              <w:t xml:space="preserve"> Министерства здравоохранения Российской Федерации от 15.12.2014 N 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(далее – справка по форме N 070/у).</w:t>
            </w:r>
          </w:p>
        </w:tc>
      </w:tr>
      <w:tr>
        <w:trPr>
          <w:trHeight w:val="461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Доплата к пенсии по утере кормильца;</w:t>
            </w:r>
          </w:p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денежная компенсация в размере стоимости услуг связи.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Только для членов семей военнослужащих, погибших в мирное время.</w:t>
            </w:r>
          </w:p>
          <w:p>
            <w:pPr>
              <w:pStyle w:val="S1"/>
              <w:widowControl/>
              <w:spacing w:beforeAutospacing="0" w:before="0" w:afterAutospacing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 xml:space="preserve">Памятка </w:t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для граждан имеющих право на меры социальной поддержки</w:t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single"/>
        </w:rPr>
        <w:t>по категориям:  .</w:t>
      </w:r>
    </w:p>
    <w:p>
      <w:pPr>
        <w:pStyle w:val="S1"/>
        <w:spacing w:before="280" w:after="28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Условия предоставления льгот : </w:t>
      </w:r>
      <w:r>
        <w:rPr>
          <w:sz w:val="20"/>
          <w:szCs w:val="20"/>
        </w:rPr>
        <w:t>предоставляется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отдельным категориям граждан, проживающих в сельской местности на территории Воронежской области.</w:t>
      </w:r>
    </w:p>
    <w:tbl>
      <w:tblPr>
        <w:tblStyle w:val="a8"/>
        <w:tblW w:w="10349" w:type="dxa"/>
        <w:jc w:val="left"/>
        <w:tblInd w:w="4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"/>
        <w:gridCol w:w="4111"/>
        <w:gridCol w:w="5671"/>
      </w:tblGrid>
      <w:tr>
        <w:trPr>
          <w:trHeight w:val="419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ab/>
              <w:tab/>
            </w: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Меры социальной поддержки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Примечание</w:t>
            </w:r>
          </w:p>
        </w:tc>
      </w:tr>
      <w:tr>
        <w:trPr>
          <w:trHeight w:val="419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Денежная компенсация расходов на оплату жилого помещения и (или) коммунальных услуг.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Исходя из индивидуальной ситуации</w:t>
            </w:r>
          </w:p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100% содержание жилья, освещение и отопление</w:t>
            </w:r>
          </w:p>
        </w:tc>
      </w:tr>
    </w:tbl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</w:rPr>
        <w:t xml:space="preserve">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single"/>
        </w:rPr>
        <w:t xml:space="preserve">Памятка </w:t>
      </w:r>
      <w:bookmarkStart w:id="0" w:name="_GoBack"/>
      <w:bookmarkEnd w:id="0"/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для граждан имеющих право на меры социальной поддержки</w:t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single"/>
        </w:rPr>
        <w:t>по категориям:  инвалид и семьи с детьми – инвалидами и другие федеральные льготники.</w:t>
      </w:r>
      <w:r>
        <w:rPr>
          <w:rFonts w:cs="Times New Roman" w:ascii="Times New Roman" w:hAnsi="Times New Roman"/>
          <w:b/>
          <w:sz w:val="20"/>
          <w:szCs w:val="20"/>
        </w:rPr>
        <w:tab/>
      </w:r>
    </w:p>
    <w:p>
      <w:pPr>
        <w:pStyle w:val="Normal"/>
        <w:spacing w:lineRule="auto" w:line="240" w:before="0" w:after="0"/>
        <w:ind w:hanging="3261" w:left="32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Условия предоставления льгот : </w:t>
      </w:r>
      <w:r>
        <w:rPr>
          <w:rFonts w:cs="Times New Roman" w:ascii="Times New Roman" w:hAnsi="Times New Roman"/>
          <w:sz w:val="20"/>
          <w:szCs w:val="20"/>
        </w:rPr>
        <w:t xml:space="preserve"> денежная компенсация предоставляется гражданам Российской Федерации, а также постоянно проживающим на территории Российской Федерации иностранным гражданам и лицам без гражданства в порядке, определенном действующим законодательством и при наличии сведений об  инвалидности и ее группе, наличие удостоверения о праве на льготы</w:t>
      </w:r>
    </w:p>
    <w:tbl>
      <w:tblPr>
        <w:tblStyle w:val="a8"/>
        <w:tblW w:w="10349" w:type="dxa"/>
        <w:jc w:val="left"/>
        <w:tblInd w:w="4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"/>
        <w:gridCol w:w="4111"/>
        <w:gridCol w:w="5671"/>
      </w:tblGrid>
      <w:tr>
        <w:trPr>
          <w:trHeight w:val="419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Меры социальной поддержки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Примечание</w:t>
            </w:r>
          </w:p>
        </w:tc>
      </w:tr>
      <w:tr>
        <w:trPr>
          <w:trHeight w:val="419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Денежная компенсация расходов на оплату жилого помещения и (или) коммунальных услуг.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Исходя из индивидуальной ситуации</w:t>
            </w:r>
          </w:p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attr"/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Ежемесячная денежная компенсация затрат на организацию обучения детей-инвалидов по основным общеобразовательным программам на дому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Исходя из индивидуальной ситуации</w:t>
            </w:r>
          </w:p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 xml:space="preserve">Памятка </w:t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для граждан имеющих право на меры социальной поддержки</w:t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single"/>
        </w:rPr>
        <w:t>по категориям:  .</w:t>
      </w:r>
    </w:p>
    <w:p>
      <w:pPr>
        <w:pStyle w:val="S1"/>
        <w:spacing w:before="280" w:after="28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Условия предоставления льгот : </w:t>
      </w:r>
      <w:r>
        <w:rPr>
          <w:sz w:val="20"/>
          <w:szCs w:val="20"/>
        </w:rPr>
        <w:t>предоставляется многодетным и приемным семьям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постоянно  или временно проживающим на территории Воронежской области .</w:t>
      </w:r>
    </w:p>
    <w:tbl>
      <w:tblPr>
        <w:tblStyle w:val="a8"/>
        <w:tblW w:w="10349" w:type="dxa"/>
        <w:jc w:val="left"/>
        <w:tblInd w:w="4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"/>
        <w:gridCol w:w="4111"/>
        <w:gridCol w:w="5671"/>
      </w:tblGrid>
      <w:tr>
        <w:trPr>
          <w:trHeight w:val="419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ab/>
              <w:tab/>
            </w: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Меры социальной поддержки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Примечание</w:t>
            </w:r>
          </w:p>
        </w:tc>
      </w:tr>
      <w:tr>
        <w:trPr>
          <w:trHeight w:val="419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Денежная компенсация расходов на оплату жилого помещения и (или) коммунальных услуг.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30% на коммунальные услуги при наличии удостоверения и дохода не выше прожиточного минимума на душу населения.</w:t>
            </w:r>
          </w:p>
          <w:p>
            <w:pPr>
              <w:pStyle w:val="Normal"/>
              <w:widowControl/>
              <w:tabs>
                <w:tab w:val="clear" w:pos="708"/>
                <w:tab w:val="left" w:pos="2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Исходя из индивидуальной ситуации.</w:t>
            </w:r>
          </w:p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Денежная компенсация расходов на оплату жилого помещения и (или) коммунальных услуг.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30% на коммунальные услуги при подтверждении факта образования приемной семьи (независимо от количества детей)</w:t>
            </w:r>
          </w:p>
          <w:p>
            <w:pPr>
              <w:pStyle w:val="Normal"/>
              <w:widowControl/>
              <w:tabs>
                <w:tab w:val="clear" w:pos="708"/>
                <w:tab w:val="left" w:pos="2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Исходя из индивидуальной ситуации.</w:t>
            </w:r>
          </w:p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cs="Times New Roman" w:ascii="Times New Roman" w:hAnsi="Times New Roman"/>
          <w:b/>
        </w:rPr>
        <w:t>Куда обращаться:</w:t>
      </w:r>
      <w:r>
        <w:rPr>
          <w:rFonts w:cs="Times New Roman" w:ascii="Times New Roman" w:hAnsi="Times New Roman"/>
          <w:b/>
          <w:bCs/>
          <w:color w:val="000000"/>
          <w:lang w:eastAsia="en-US"/>
        </w:rPr>
        <w:t xml:space="preserve"> </w:t>
      </w:r>
      <w:r>
        <w:rPr>
          <w:rFonts w:cs="Times New Roman" w:ascii="Times New Roman" w:hAnsi="Times New Roman"/>
          <w:bCs/>
          <w:color w:val="000000"/>
          <w:lang w:eastAsia="en-US"/>
        </w:rPr>
        <w:t>КУВО «УСЗН Семилукского района»</w:t>
      </w:r>
      <w:r>
        <w:rPr>
          <w:rFonts w:cs="Times New Roman" w:ascii="Times New Roman" w:hAnsi="Times New Roman"/>
          <w:color w:val="000000"/>
          <w:lang w:eastAsia="en-US"/>
        </w:rPr>
        <w:t xml:space="preserve"> - ул. 9 Января, д.13, г. Семилуки,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color w:val="000000"/>
          <w:lang w:eastAsia="en-US"/>
        </w:rPr>
        <w:t xml:space="preserve">телефон для справок: 8(47372)2-45-19,2-18-02;   </w:t>
      </w:r>
      <w:r>
        <w:rPr>
          <w:rFonts w:cs="Times New Roman" w:ascii="Times New Roman" w:hAnsi="Times New Roman"/>
          <w:b/>
        </w:rPr>
        <w:t xml:space="preserve">                                 </w:t>
      </w:r>
      <w:r>
        <w:rPr>
          <w:rFonts w:cs="Times New Roman" w:ascii="Times New Roman" w:hAnsi="Times New Roman"/>
          <w:color w:val="000000"/>
          <w:lang w:eastAsia="en-US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575" w:leader="none"/>
        </w:tabs>
        <w:spacing w:before="0" w:after="200"/>
        <w:jc w:val="right"/>
        <w:rPr>
          <w:rFonts w:ascii="Times New Roman" w:hAnsi="Times New Roman" w:cs="Times New Roman"/>
          <w:sz w:val="36"/>
          <w:szCs w:val="36"/>
        </w:rPr>
      </w:pPr>
      <w:r>
        <w:rPr/>
        <w:tab/>
      </w:r>
    </w:p>
    <w:sectPr>
      <w:type w:val="nextPage"/>
      <w:pgSz w:w="11906" w:h="16838"/>
      <w:pgMar w:left="284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11a0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6c424e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6c424e"/>
    <w:rPr/>
  </w:style>
  <w:style w:type="character" w:styleId="Eattr" w:customStyle="1">
    <w:name w:val="eattr"/>
    <w:basedOn w:val="DefaultParagraphFont"/>
    <w:qFormat/>
    <w:rsid w:val="00aa5417"/>
    <w:rPr/>
  </w:style>
  <w:style w:type="character" w:styleId="Hyperlink">
    <w:name w:val="Hyperlink"/>
    <w:basedOn w:val="DefaultParagraphFont"/>
    <w:uiPriority w:val="99"/>
    <w:semiHidden/>
    <w:unhideWhenUsed/>
    <w:rsid w:val="00cb44e6"/>
    <w:rPr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63bb5"/>
    <w:pPr>
      <w:spacing w:before="0" w:after="200"/>
      <w:ind w:left="720"/>
      <w:contextualSpacing/>
    </w:pPr>
    <w:rPr/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6c424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6c424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Western" w:customStyle="1">
    <w:name w:val="western"/>
    <w:basedOn w:val="Normal"/>
    <w:uiPriority w:val="99"/>
    <w:semiHidden/>
    <w:qFormat/>
    <w:rsid w:val="000c7764"/>
    <w:pPr>
      <w:spacing w:before="28" w:after="119"/>
    </w:pPr>
    <w:rPr>
      <w:rFonts w:ascii="Calibri" w:hAnsi="Calibri" w:eastAsia="Times New Roman" w:cs="Times New Roman"/>
    </w:rPr>
  </w:style>
  <w:style w:type="paragraph" w:styleId="S1" w:customStyle="1">
    <w:name w:val="s_1"/>
    <w:basedOn w:val="Normal"/>
    <w:qFormat/>
    <w:rsid w:val="004a754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8118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63E5-2930-4D93-AC1E-B3BE4E51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Application>LibreOffice/7.6.7.2$Linux_X86_64 LibreOffice_project/60$Build-2</Application>
  <AppVersion>15.0000</AppVersion>
  <Pages>2</Pages>
  <Words>563</Words>
  <Characters>3859</Characters>
  <CharactersWithSpaces>4500</CharactersWithSpaces>
  <Paragraphs>73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2022-09-13T12:42:00Z</dcterms:created>
  <dc:creator>user</dc:creator>
  <dc:description/>
  <dc:language>ru-RU</dc:language>
  <cp:lastModifiedBy/>
  <cp:lastPrinted>2023-02-06T06:48:00Z</cp:lastPrinted>
  <dcterms:modified xsi:type="dcterms:W3CDTF">2025-03-17T09:24:17Z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